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Kisbér Város Önkormányzata Képviselő-testületének .../.... (...)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2023. évi költségvetésről szóló 4/2023. (III.13.) önkormányzati rendelet módosításáról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Kisbér Város Önkormányzatának Képviselő-testülete az Alaptörvény 32. cikk (2) bekezdésében meghatározott eredeti jogalkotói hatáskörében,az Alaptörvény 32. cikk (1) bekezdés f) pontjában meghatározott feladatkörében eljárva, valamint a Magyarország helyi önkormányzatairól szóló 2011. évi CLXXXIX. törvény 120. § (1) bekezdés a) pontjában biztosított véleményezési jogkörében eljáró Pénzügyi Bizottság véleményének kikérésével a következőket rendeli el: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2023. évi költségvetésről szóló 4/2023. (III. 13.) önkormányzati rendelet 1. § (1) bekezdés a) és b) pontja helyébe a következő rendelkezések lépnek: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[Kisbér Város Önkormányzata (a továbbiakban: helyi önkormányzat) 2023. évi költségvetését az alábbi bontásban hagyja jóvá:]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bevételi főösszeg 7 793 101 648 Ft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kiadási főösszeg 7 793 101 648 Ft”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2023. évi költségvetésről szóló 4/2023. (III. 13.) önkormányzati rendelet 1. § (2) bekezdése helyébe a következő rendelkezés lép: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(2) A költségvetés bevételi főösszegén belül a költségvetési bevételek főösszege 3 449 352 464 Ft, ezen belül: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 működési célú költségvetési bevételek 2 284 634 228 Ft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 felhalmozási célú pénzforgalmi bevételek 1 164 718 236 Ft”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2023. évi költségvetésről szóló 4/2023. (III. 13.) önkormányzati rendelet 1. § (3) bekezdés a)–g) pontja helyébe a következő rendelkezések lépnek: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(A költségvetési bevételek főösszegén belül:)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az ÁH belülről származó működési célú támogatások összege 1 264 670 241 Ft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az ÁH belülről származó felhalmozási célú támogatások összege 1 073 495 706 Ft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közhatalmi bevételek összege 522 382 745 Ft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  <w:t>működési bevételek összege 524 480 822 Ft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  <w:t>felhalmozási bevételek összege 593 323 Ft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  <w:t>működési célra átvett pénzeszközök összege 400 000 Ft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  <w:t>felhalmozási célra átvett pénzeszközök összege 63 329 627 Ft”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2023. évi költségvetésről szóló 4/2023. (III. 13.) önkormányzati rendelet 1. § (4)–(6) bekezdése helyébe a következő rendelkezések lépnek: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(4) A költségvetés bevételi főösszegén belül a finanszírozási bevételek főösszege 4 343 749 184 Ft, ezen belül: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 belföldi finanszírozás bevételei 4 343 749 184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aa)</w:t>
      </w:r>
      <w:r>
        <w:rPr>
          <w:sz w:val="24"/>
          <w:szCs w:val="24"/>
        </w:rPr>
        <w:tab/>
        <w:t>betétlekötések megszüntetése 0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ab)</w:t>
      </w:r>
      <w:r>
        <w:rPr>
          <w:sz w:val="24"/>
          <w:szCs w:val="24"/>
        </w:rPr>
        <w:tab/>
        <w:t>forgatási célú értékpapírok beváltása 0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ac)</w:t>
      </w:r>
      <w:r>
        <w:rPr>
          <w:sz w:val="24"/>
          <w:szCs w:val="24"/>
        </w:rPr>
        <w:tab/>
        <w:t>maradvány igénybevétel 3 090 560 001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ad)</w:t>
      </w:r>
      <w:r>
        <w:rPr>
          <w:sz w:val="24"/>
          <w:szCs w:val="24"/>
        </w:rPr>
        <w:tab/>
        <w:t>irányítószervi támogatás 1 209 688 318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ae)</w:t>
      </w:r>
      <w:r>
        <w:rPr>
          <w:sz w:val="24"/>
          <w:szCs w:val="24"/>
        </w:rPr>
        <w:tab/>
        <w:t>államháztartáson belüli megelőlegezések 43 500 865 Ft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 külföldi finanszírozás bevételeit 0 Ft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adóssághoz nem kapcsolódó származékos ügyletek bevételeit 0 Ft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költségvetés kiadási főösszegén belül a költségvetési kiadások főösszege 6 545 209 251 Ft, ezen belül: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 működési jellegű költségvetési kiadások összege 3 098 153 142 Ft, ebből: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aa)</w:t>
      </w:r>
      <w:r>
        <w:rPr>
          <w:sz w:val="24"/>
          <w:szCs w:val="24"/>
        </w:rPr>
        <w:tab/>
        <w:t>személyi juttatás összege 960 707 200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ab)</w:t>
      </w:r>
      <w:r>
        <w:rPr>
          <w:sz w:val="24"/>
          <w:szCs w:val="24"/>
        </w:rPr>
        <w:tab/>
        <w:t>munkaadókat terhelő járulékok összege 137 903 789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ac)</w:t>
      </w:r>
      <w:r>
        <w:rPr>
          <w:sz w:val="24"/>
          <w:szCs w:val="24"/>
        </w:rPr>
        <w:tab/>
        <w:t>dologi kiadások összege 1 399 664 112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ad)</w:t>
      </w:r>
      <w:r>
        <w:rPr>
          <w:sz w:val="24"/>
          <w:szCs w:val="24"/>
        </w:rPr>
        <w:tab/>
        <w:t>ellátottak pénzbeli juttatásának összege 6 840 637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ae)</w:t>
      </w:r>
      <w:r>
        <w:rPr>
          <w:sz w:val="24"/>
          <w:szCs w:val="24"/>
        </w:rPr>
        <w:tab/>
        <w:t>egyéb működési célú kiadások összege 658 137 404 Ft, ebből működési tartalék összege 320 056 733 Ft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 felhalmozási jellegű költségvetési kiadások összege 3 447 056 109 Ft, ebből: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ba)</w:t>
      </w:r>
      <w:r>
        <w:rPr>
          <w:sz w:val="24"/>
          <w:szCs w:val="24"/>
        </w:rPr>
        <w:tab/>
        <w:t>beruházások összege 1 233 006 384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bb)</w:t>
      </w:r>
      <w:r>
        <w:rPr>
          <w:sz w:val="24"/>
          <w:szCs w:val="24"/>
        </w:rPr>
        <w:tab/>
        <w:t>felújítások összege 2 114 569 725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bc)</w:t>
      </w:r>
      <w:r>
        <w:rPr>
          <w:sz w:val="24"/>
          <w:szCs w:val="24"/>
        </w:rPr>
        <w:tab/>
        <w:t>egyéb felhalmozási célú kiadások összege 34 380 000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bd)</w:t>
      </w:r>
      <w:r>
        <w:rPr>
          <w:sz w:val="24"/>
          <w:szCs w:val="24"/>
        </w:rPr>
        <w:tab/>
        <w:t>felhalmozási tartalék összege 65 100 000 Ft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A költségvetés kiadás főösszegén belül a finanszírozási kiadások főösszege 1 247 892 397 Ft, ezen belül: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 belföldi finanszírozás kiadásai 1 247 892 397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aa)</w:t>
      </w:r>
      <w:r>
        <w:rPr>
          <w:sz w:val="24"/>
          <w:szCs w:val="24"/>
        </w:rPr>
        <w:tab/>
        <w:t>irányítószervi támogatás 1 209 688 318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ab)</w:t>
      </w:r>
      <w:r>
        <w:rPr>
          <w:sz w:val="24"/>
          <w:szCs w:val="24"/>
        </w:rPr>
        <w:tab/>
        <w:t>ÁH belüli megelőlegezések visszafizetése 38 204 079 Ft</w:t>
      </w:r>
    </w:p>
    <w:p>
      <w:pPr>
        <w:pStyle w:val="TextBody"/>
        <w:bidi w:val="0"/>
        <w:spacing w:lineRule="auto" w:line="240" w:before="0" w:after="0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ac)</w:t>
      </w:r>
      <w:r>
        <w:rPr>
          <w:sz w:val="24"/>
          <w:szCs w:val="24"/>
        </w:rPr>
        <w:tab/>
        <w:t>forgatási célú értékpapírok vásárlása 0 Ft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 külföldi finanszírozás kiadásai 0 Ft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adóssághoz nem kapcsolódó származékos ügyletek kiadásai 0 Ft.”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2023. évi költségvetésről szóló 4/2023. (III. 13.) önkormányzati rendelet 1. § (8)–(10) bekezdése helyébe a következő rendelkezések lépnek: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(8) A megállapított forráshiány a felhalmozási többlet 517.003.007,-Ft-os és a működési hiány 517.003.007,-Ft-os összegének különbözete.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(9) A 2023. évi forráshiány megállapítása során, a költségvetési bevételek és kiadások különbözeteként a költségvetési hiány összegét 3.095.856.787,- Ft-ban, finanszírozási bevételek és kiadások különbözeteként a finanszírozási bevételi többletet 3.095.856.787,- Ft-ban határozza meg.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(10) Kisbér Város Önkormányzat Képviselő-testülete (a továbbiakban: képviselő-testület) a költségvetés bevételi és kiadási főösszegében szereplő, a felügyelete alá tartozó költségvetési szervnek folyósított támogatás (fenntartói finanszírozás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összegét 1.209.688.318.- Ft-ban állapítja meg. A finanszírozás összegéből 20.342.714,- Ft felhalmozási célú, 1.189.345.604,- Ft működési célú. A költségvetési intézmény finanszírozásáról – az előirányzat összegén belül - a helyi önkormányzat nettó finanszírozás keretében havonta, illetve az intézmény esetleges rendkívüli igényét figyelembe véve gondoskodik”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2023. évi költségvetésről szóló 4/2023. (III. 13.) önkormányzati rendelet 5. §-a helyébe a következő rendelkezés lép: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5.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helyi önkormányzat 2023. évi tartalékát 385.156.733.- Ft-ban, ezen belül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az általános gazdálkodási tartalékot 295.432.743.- Ft összegben,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működési tartalékot 24.623.990,- Ft összegben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céltartalékot (fejlesztési feladatra) 65.100.000,- Ft összegben</w:t>
      </w:r>
    </w:p>
    <w:p>
      <w:pPr>
        <w:pStyle w:val="TextBody"/>
        <w:bidi w:val="0"/>
        <w:spacing w:lineRule="auto" w:line="240" w:before="0" w:after="24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határozza meg.”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2023. évi költségvetésről szóló 4/2023. (III. 13.) önkormányzati rendelet 16. §-a helyébe a következő rendelkezés lép: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16. §</w:t>
      </w:r>
    </w:p>
    <w:p>
      <w:pPr>
        <w:pStyle w:val="TextBody"/>
        <w:bidi w:val="0"/>
        <w:spacing w:lineRule="auto" w:line="240" w:before="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 rendelet rendelkezéseit 2023. december 30. napjától kell alkalmazni.”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a kihirdetését követő harmadik napon lép hatályba.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